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15" w:type="dxa"/>
        <w:shd w:val="clear" w:color="auto" w:fill="FFFFFF"/>
        <w:tblCellMar>
          <w:top w:w="15" w:type="dxa"/>
          <w:left w:w="15" w:type="dxa"/>
          <w:bottom w:w="15" w:type="dxa"/>
          <w:right w:w="15" w:type="dxa"/>
        </w:tblCellMar>
        <w:tblLook w:val="0000"/>
      </w:tblPr>
      <w:tblGrid>
        <w:gridCol w:w="8973"/>
      </w:tblGrid>
      <w:tr w:rsidR="005C152E" w:rsidTr="005C11FC">
        <w:trPr>
          <w:trHeight w:val="285"/>
          <w:tblCellSpacing w:w="15" w:type="dxa"/>
          <w:jc w:val="center"/>
        </w:trPr>
        <w:tc>
          <w:tcPr>
            <w:tcW w:w="0" w:type="auto"/>
            <w:shd w:val="clear" w:color="auto" w:fill="FFFFFF"/>
          </w:tcPr>
          <w:p w:rsidR="005C152E" w:rsidRDefault="005C152E" w:rsidP="005C11FC">
            <w:pPr>
              <w:spacing w:line="240" w:lineRule="atLeast"/>
              <w:rPr>
                <w:rFonts w:ascii="Trebuchet MS" w:hAnsi="Trebuchet MS"/>
                <w:color w:val="000000"/>
                <w:sz w:val="20"/>
                <w:szCs w:val="20"/>
              </w:rPr>
            </w:pPr>
            <w:r>
              <w:rPr>
                <w:rStyle w:val="textstrongblue1"/>
              </w:rPr>
              <w:t>Практические методы Фибоначчи для торговли на форексе</w:t>
            </w:r>
          </w:p>
        </w:tc>
      </w:tr>
      <w:tr w:rsidR="005C152E" w:rsidRPr="00522FE7" w:rsidTr="005C11FC">
        <w:trPr>
          <w:tblCellSpacing w:w="15" w:type="dxa"/>
          <w:jc w:val="center"/>
        </w:trPr>
        <w:tc>
          <w:tcPr>
            <w:tcW w:w="3500" w:type="pct"/>
            <w:shd w:val="clear" w:color="auto" w:fill="FFFFFF"/>
            <w:tcMar>
              <w:top w:w="300" w:type="dxa"/>
              <w:left w:w="150" w:type="dxa"/>
              <w:bottom w:w="300" w:type="dxa"/>
              <w:right w:w="150" w:type="dxa"/>
            </w:tcMar>
            <w:vAlign w:val="center"/>
          </w:tcPr>
          <w:p w:rsidR="005C152E" w:rsidRDefault="005C152E" w:rsidP="005C11FC">
            <w:pPr>
              <w:pStyle w:val="textstrongblue"/>
              <w:spacing w:line="240" w:lineRule="atLeast"/>
            </w:pPr>
            <w:r>
              <w:t xml:space="preserve">Торговый инструмент: - </w:t>
            </w:r>
            <w:r>
              <w:br/>
              <w:t xml:space="preserve">Временной диапазон: - </w:t>
            </w:r>
            <w:r>
              <w:br/>
              <w:t xml:space="preserve">Используемые индикаторы: уровни Фибоначчи </w:t>
            </w:r>
            <w:r>
              <w:br/>
              <w:t xml:space="preserve">Обьем сделки: - </w:t>
            </w:r>
          </w:p>
          <w:p w:rsidR="005C152E" w:rsidRDefault="005C152E" w:rsidP="005C11FC">
            <w:pPr>
              <w:pStyle w:val="textstrongblue"/>
              <w:spacing w:line="240" w:lineRule="atLeast"/>
            </w:pPr>
            <w:r>
              <w:rPr>
                <w:u w:val="single"/>
              </w:rPr>
              <w:t>Алгоритм тактики</w:t>
            </w:r>
            <w:r>
              <w:t>:</w:t>
            </w:r>
          </w:p>
          <w:p w:rsidR="005C152E" w:rsidRDefault="005C152E" w:rsidP="005C11FC">
            <w:pPr>
              <w:pStyle w:val="textstrong"/>
              <w:spacing w:line="240" w:lineRule="atLeast"/>
              <w:rPr>
                <w:color w:val="000000"/>
              </w:rPr>
            </w:pPr>
            <w:r>
              <w:rPr>
                <w:color w:val="000000"/>
              </w:rPr>
              <w:t>Введение в числа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Последовательность чисел Фибоначчи, это</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1 ,1 , 2 , 3 ,5 , 8 , 13 , 21 ,34 , 55 , 89 ,144 ,....,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Числа вычисляются простым сложением двух предшествующих чисел.</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Т.е. 3 + 5 = 8</w:t>
            </w:r>
            <w:r>
              <w:rPr>
                <w:rFonts w:ascii="Trebuchet MS" w:hAnsi="Trebuchet MS"/>
                <w:color w:val="000000"/>
                <w:sz w:val="20"/>
                <w:szCs w:val="20"/>
              </w:rPr>
              <w:br/>
              <w:t>5 + 8 = 13</w:t>
            </w:r>
            <w:r>
              <w:rPr>
                <w:rFonts w:ascii="Trebuchet MS" w:hAnsi="Trebuchet MS"/>
                <w:color w:val="000000"/>
                <w:sz w:val="20"/>
                <w:szCs w:val="20"/>
              </w:rPr>
              <w:br/>
              <w:t>8 + 13= 21</w:t>
            </w:r>
            <w:r>
              <w:rPr>
                <w:rFonts w:ascii="Trebuchet MS" w:hAnsi="Trebuchet MS"/>
                <w:color w:val="000000"/>
                <w:sz w:val="20"/>
                <w:szCs w:val="20"/>
              </w:rPr>
              <w:br/>
              <w:t>и т.д.</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рынке форекс отношения Фибоначчи повсеместно используются для расчета целей для выхода, а также точек входа в сделки. Уровни Фибоначчи вполне надежны, поскольку их использует большое количество профессиональных трейдеров и, по возможности, трейдеры своей массой ведут цены к этим уровням.</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Давайте рассмотрим, как получаются отношения.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Возьмем четыре последовательных числа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Например, 13,21,34,55</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Разделив одно число на другое, мы получаем отношения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13/21=0.618 или 61.8%</w:t>
            </w:r>
            <w:r>
              <w:rPr>
                <w:rFonts w:ascii="Trebuchet MS" w:hAnsi="Trebuchet MS"/>
                <w:color w:val="000000"/>
                <w:sz w:val="20"/>
                <w:szCs w:val="20"/>
              </w:rPr>
              <w:br/>
              <w:t>34/55 = 0.618 или 61.8%</w:t>
            </w:r>
            <w:r>
              <w:rPr>
                <w:rFonts w:ascii="Trebuchet MS" w:hAnsi="Trebuchet MS"/>
                <w:color w:val="000000"/>
                <w:sz w:val="20"/>
                <w:szCs w:val="20"/>
              </w:rPr>
              <w:br/>
              <w:t>34/21 = 1.618 или 161.8%</w:t>
            </w:r>
            <w:r>
              <w:rPr>
                <w:rFonts w:ascii="Trebuchet MS" w:hAnsi="Trebuchet MS"/>
                <w:color w:val="000000"/>
                <w:sz w:val="20"/>
                <w:szCs w:val="20"/>
              </w:rPr>
              <w:br/>
              <w:t>55/34=1.618 или 161.8%</w:t>
            </w:r>
            <w:r>
              <w:rPr>
                <w:rFonts w:ascii="Trebuchet MS" w:hAnsi="Trebuchet MS"/>
                <w:color w:val="000000"/>
                <w:sz w:val="20"/>
                <w:szCs w:val="20"/>
              </w:rPr>
              <w:br/>
              <w:t>21/55 = 0.382 или 32.8%</w:t>
            </w:r>
            <w:r>
              <w:rPr>
                <w:rFonts w:ascii="Trebuchet MS" w:hAnsi="Trebuchet MS"/>
                <w:color w:val="000000"/>
                <w:sz w:val="20"/>
                <w:szCs w:val="20"/>
              </w:rPr>
              <w:br/>
              <w:t>13/34 = 0.382 или 32.8%</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Квадратный корень из 0.618 = 0.786</w:t>
            </w:r>
            <w:r>
              <w:rPr>
                <w:rFonts w:ascii="Trebuchet MS" w:hAnsi="Trebuchet MS"/>
                <w:color w:val="000000"/>
                <w:sz w:val="20"/>
                <w:szCs w:val="20"/>
              </w:rPr>
              <w:br/>
              <w:t>А квадратный корень из 1.618 = 1.27</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форексе ключевыми отношениями Фибоначчи являются</w:t>
            </w:r>
            <w:r>
              <w:rPr>
                <w:rFonts w:ascii="Trebuchet MS" w:hAnsi="Trebuchet MS"/>
                <w:color w:val="000000"/>
                <w:sz w:val="20"/>
                <w:szCs w:val="20"/>
              </w:rPr>
              <w:br/>
              <w:t>0.382 38.2%</w:t>
            </w:r>
            <w:r>
              <w:rPr>
                <w:rFonts w:ascii="Trebuchet MS" w:hAnsi="Trebuchet MS"/>
                <w:color w:val="000000"/>
                <w:sz w:val="20"/>
                <w:szCs w:val="20"/>
              </w:rPr>
              <w:br/>
              <w:t>0.50 50%</w:t>
            </w:r>
            <w:r>
              <w:rPr>
                <w:rFonts w:ascii="Trebuchet MS" w:hAnsi="Trebuchet MS"/>
                <w:color w:val="000000"/>
                <w:sz w:val="20"/>
                <w:szCs w:val="20"/>
              </w:rPr>
              <w:br/>
              <w:t>0.618 61.8%</w:t>
            </w:r>
            <w:r>
              <w:rPr>
                <w:rFonts w:ascii="Trebuchet MS" w:hAnsi="Trebuchet MS"/>
                <w:color w:val="000000"/>
                <w:sz w:val="20"/>
                <w:szCs w:val="20"/>
              </w:rPr>
              <w:br/>
              <w:t>0.786 78.6% (76.4%, используемое на графиках Metatrader, это 38.2 x 2 = 76.4% и 1- 34/144 = 0.764) (Цена часто отбивается точно от уровня ретрейсмента 76.4% и поэтому число 76.4 включено в пакеты многих форекс-брокеров)</w:t>
            </w:r>
            <w:r>
              <w:rPr>
                <w:rFonts w:ascii="Trebuchet MS" w:hAnsi="Trebuchet MS"/>
                <w:color w:val="000000"/>
                <w:sz w:val="20"/>
                <w:szCs w:val="20"/>
              </w:rPr>
              <w:br/>
              <w:t>1.27 127%</w:t>
            </w:r>
            <w:r>
              <w:rPr>
                <w:rFonts w:ascii="Trebuchet MS" w:hAnsi="Trebuchet MS"/>
                <w:color w:val="000000"/>
                <w:sz w:val="20"/>
                <w:szCs w:val="20"/>
              </w:rPr>
              <w:br/>
              <w:t>1.618 161.8%</w:t>
            </w:r>
            <w:r>
              <w:rPr>
                <w:rFonts w:ascii="Trebuchet MS" w:hAnsi="Trebuchet MS"/>
                <w:color w:val="000000"/>
                <w:sz w:val="20"/>
                <w:szCs w:val="20"/>
              </w:rPr>
              <w:br/>
              <w:t>2.618 261.8%</w:t>
            </w:r>
          </w:p>
          <w:p w:rsidR="005C152E" w:rsidRDefault="005C152E" w:rsidP="005C11FC">
            <w:pPr>
              <w:pStyle w:val="textstrong"/>
              <w:spacing w:line="240" w:lineRule="atLeast"/>
              <w:rPr>
                <w:color w:val="000000"/>
              </w:rPr>
            </w:pPr>
            <w:r>
              <w:rPr>
                <w:color w:val="000000"/>
              </w:rPr>
              <w:lastRenderedPageBreak/>
              <w:t>Трейдинг по уровням Фибоначчи:</w:t>
            </w:r>
          </w:p>
          <w:p w:rsidR="005C152E" w:rsidRDefault="005C152E" w:rsidP="005C11FC">
            <w:pPr>
              <w:pStyle w:val="textstrong"/>
              <w:spacing w:line="240" w:lineRule="atLeast"/>
              <w:rPr>
                <w:color w:val="000000"/>
              </w:rPr>
            </w:pPr>
            <w:r>
              <w:rPr>
                <w:color w:val="000000"/>
              </w:rPr>
              <w:t>Введение:</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Уровни Фибоначчи - очень сильный инструмент в торговле на форексе. По ним можно торговать отдельно или в комбинации с другими сигналами, например, со свечами, индикаторами или графическими паттернами. В этой книге мы будем использовать сигналы подтверждения для точек выхода и входа.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Сетап на покупку включает в себя такие свечи: бычье поглощение, утренняя звезда, дно-пинцет, двойное дно и прорыв максимума внутреннего бара. Сетап на продажу, это свечи: медвежье поглощение, вечерняя звезда, вершина-пинцет, двойная вершина и прорыв минимума внутреннего бара.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Методика будет продемонстрирована на реальных примерах с использованием графиков и пояснений.</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Эти методы можно применять на любом периоде времени - от 5-минутных до недельных графиков.</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 нанесении уровней Фибоначчи на график нужно просмотреть каждый период времени в поисках значимых максимумов и минимумов. Для этого может потребоваться изучить не только предыдущие дни, но даже и недели. Есть трейдеры, торгующие на различных периодах времени по линиям Фибоначчи, котрые проводились на недельных или даже месячных графиках. Может происходить совпадение уровней Фибоначчи, найденных на графиках различных масштабов времени. Когда случается такое совпадение, уровни становятся более значимыми. Важно искать совпадения с уровнями поддержки и сопротивления и линиями тренда.</w:t>
            </w:r>
          </w:p>
          <w:p w:rsidR="005C152E" w:rsidRDefault="005C152E" w:rsidP="005C11FC">
            <w:pPr>
              <w:pStyle w:val="textstrong"/>
              <w:spacing w:line="240" w:lineRule="atLeast"/>
              <w:rPr>
                <w:color w:val="000000"/>
              </w:rPr>
            </w:pPr>
            <w:r>
              <w:rPr>
                <w:color w:val="000000"/>
              </w:rPr>
              <w:t>Ретрейсменты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Торговля по ретрейсментам более безопасна, чем торговля прорыва. Основные уровни, которые стоит отслеживать:</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38.2%, 50%, 61.8% и 78.6% (или 76.4%).</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Как правило, прежде, чем продолжить ход после сильного движения, рынок совершает откат. Конечно, рынок не всегда будет точно доходить до этих уровней. Например, иногда цена может развернуться на середине пути между 50 % и 61.8 %. Цена может недолететь или перелететь уровень Фибоначчи. Ретрейсменты на 76.4 % и на 61.8 % являются очень популярными уровнями для откатов рынка. Понаблюдайте эти уровни на различных масштабах времени. Прежде, чем войти в сделку в точке С или около нее, лучше подождать подтверждающего сигнала. Самое трудное в торговле по ретрейсментам Фибоначчи - угадать, какой уровень сможет удержаться.</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1762125"/>
                  <wp:effectExtent l="19050" t="0" r="0" b="0"/>
                  <wp:docPr id="1" name="Рисунок 1" descr="1CAPVU9L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CAPVU9L6"/>
                          <pic:cNvPicPr>
                            <a:picLocks noChangeAspect="1" noChangeArrowheads="1"/>
                          </pic:cNvPicPr>
                        </pic:nvPicPr>
                        <pic:blipFill>
                          <a:blip r:embed="rId4"/>
                          <a:srcRect/>
                          <a:stretch>
                            <a:fillRect/>
                          </a:stretch>
                        </pic:blipFill>
                        <pic:spPr bwMode="auto">
                          <a:xfrm>
                            <a:off x="0" y="0"/>
                            <a:ext cx="4762500" cy="17621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Для покупки цена должна вырасти от минимума колебания в точке А до максимума в точке В и откатиться до точки С на уровне Фибоначчи. Минимум в точке С - разворотная точка. Минимум среднего бара является самой низкой точкой колебания.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Для продажи цена должна снизиться от максимума колебания в точке А до минимума в точке В и откатиться до точки С. Ищем внутридневные максимумы и минимумы, дневные максимумы и минимумы, 2-дневные максимумы и минимумы, 3-5 дневные максимумы и минимумы и т.д.</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Свечные паттерны наиболее надежны вблизи уровней Фибоначчи и других линий поддержки и сопротивления. Свечи также хорошо сигнализируют об окончании ретрейсмента.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Двойные вершины и двойные основания часто появляются на уровнях Фибоначчи, например, на ретрейсменте 61.8 % или на 38.2%-ом расширении.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сетапа на продажу</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752725"/>
                  <wp:effectExtent l="19050" t="0" r="0" b="0"/>
                  <wp:docPr id="2" name="Рисунок 2" descr="2CA2JM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CA2JMK02"/>
                          <pic:cNvPicPr>
                            <a:picLocks noChangeAspect="1" noChangeArrowheads="1"/>
                          </pic:cNvPicPr>
                        </pic:nvPicPr>
                        <pic:blipFill>
                          <a:blip r:embed="rId5"/>
                          <a:srcRect/>
                          <a:stretch>
                            <a:fillRect/>
                          </a:stretch>
                        </pic:blipFill>
                        <pic:spPr bwMode="auto">
                          <a:xfrm>
                            <a:off x="0" y="0"/>
                            <a:ext cx="4762500" cy="27527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сетапа на покупку</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705100"/>
                  <wp:effectExtent l="19050" t="0" r="0" b="0"/>
                  <wp:docPr id="3" name="Рисунок 3" descr="3CATG13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CATG13YP"/>
                          <pic:cNvPicPr>
                            <a:picLocks noChangeAspect="1" noChangeArrowheads="1"/>
                          </pic:cNvPicPr>
                        </pic:nvPicPr>
                        <pic:blipFill>
                          <a:blip r:embed="rId6"/>
                          <a:srcRect/>
                          <a:stretch>
                            <a:fillRect/>
                          </a:stretch>
                        </pic:blipFill>
                        <pic:spPr bwMode="auto">
                          <a:xfrm>
                            <a:off x="0" y="0"/>
                            <a:ext cx="4762500" cy="2705100"/>
                          </a:xfrm>
                          <a:prstGeom prst="rect">
                            <a:avLst/>
                          </a:prstGeom>
                          <a:noFill/>
                          <a:ln w="9525">
                            <a:noFill/>
                            <a:miter lim="800000"/>
                            <a:headEnd/>
                            <a:tailEnd/>
                          </a:ln>
                        </pic:spPr>
                      </pic:pic>
                    </a:graphicData>
                  </a:graphic>
                </wp:inline>
              </w:drawing>
            </w:r>
          </w:p>
          <w:p w:rsidR="005C152E" w:rsidRDefault="005C152E" w:rsidP="005C11FC">
            <w:pPr>
              <w:pStyle w:val="textstrong"/>
              <w:spacing w:line="240" w:lineRule="atLeast"/>
              <w:rPr>
                <w:color w:val="000000"/>
              </w:rPr>
            </w:pPr>
            <w:r>
              <w:rPr>
                <w:color w:val="000000"/>
              </w:rPr>
              <w:t>Расширения или проекции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Целевая точка D (цель прибыли) и точка ретрейсмента C могут быть рассчитаны измерением числа пипсов от точки А до точки B и умножением его на величины Фибо:</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3371850" cy="3429000"/>
                  <wp:effectExtent l="19050" t="0" r="0" b="0"/>
                  <wp:docPr id="4" name="Рисунок 4" descr="4CAP122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CAP122OK"/>
                          <pic:cNvPicPr>
                            <a:picLocks noChangeAspect="1" noChangeArrowheads="1"/>
                          </pic:cNvPicPr>
                        </pic:nvPicPr>
                        <pic:blipFill>
                          <a:blip r:embed="rId7"/>
                          <a:srcRect/>
                          <a:stretch>
                            <a:fillRect/>
                          </a:stretch>
                        </pic:blipFill>
                        <pic:spPr bwMode="auto">
                          <a:xfrm>
                            <a:off x="0" y="0"/>
                            <a:ext cx="3371850" cy="3429000"/>
                          </a:xfrm>
                          <a:prstGeom prst="rect">
                            <a:avLst/>
                          </a:prstGeom>
                          <a:noFill/>
                          <a:ln w="9525">
                            <a:noFill/>
                            <a:miter lim="800000"/>
                            <a:headEnd/>
                            <a:tailEnd/>
                          </a:ln>
                        </pic:spPr>
                      </pic:pic>
                    </a:graphicData>
                  </a:graphic>
                </wp:inline>
              </w:drawing>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3933825" cy="2686050"/>
                  <wp:effectExtent l="19050" t="0" r="9525" b="0"/>
                  <wp:docPr id="5" name="Рисунок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8"/>
                          <a:srcRect/>
                          <a:stretch>
                            <a:fillRect/>
                          </a:stretch>
                        </pic:blipFill>
                        <pic:spPr bwMode="auto">
                          <a:xfrm>
                            <a:off x="0" y="0"/>
                            <a:ext cx="3933825" cy="268605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Большинство пакетов технического анализа имеет в своем составе эти расширения, поэтому в расчетах нет необходимости.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Для получения ретрейсмента нажимают левой кнопкой мыши на точку A, тянут линию до точки B, затем кнопку отпускают. Для получения расширения (проекции) нажимают левой кнопкой мыши на точку B, удерживая, тянут линию до точки A и отпускают.</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Как правило, ретрейсменты на 61.8 % дают проекции, по крайней мере, до 161.8 %. Иногда случаются 100 %, 200% и 261.8 %-е расширения.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Большие деньги делаются на модели ABCD (также известной, как 1234), с использованием ретрейсментов для входа и расширений для выхода. Входите около точки C и выходите в точке D.</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Лучший способ определить, является движение откатом (ретрейсмент) или нет, это выяснить, движется ли цена в направлении главного тренда. Если цена идет против основного тренда, ждите разворотов на линиях Фибоначчи 38.2 %, 50 %, 61.8 % или на 78.6 %. Иногда, на том или ином уровне перед продолжением хода цена может консолидироваться. Следовательно, важно подождать сигнала подтверждения прежде, чем снова открываться в обратном направлении.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График ниже это иллюстрирует. На ходе вниз от точки А пара GBPUSD консолидировалась в точке B, на уровне ретрейсмента 38.2 %. Обратите внимание, что сигнала разворота здесь не было и пара GBPUSD затем продолжила откатываться, пока не достигла уровня 61.8 %. Здесь мы увидели свечной паттерн "Утренняя Звезда" и линию поддержки, давшие нам сигнал разворота в точке C в соединении с ретрейсментом на 61.8 %.</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3048000"/>
                  <wp:effectExtent l="19050" t="0" r="0" b="0"/>
                  <wp:docPr id="6" name="Рисунок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9"/>
                          <a:srcRect/>
                          <a:stretch>
                            <a:fillRect/>
                          </a:stretch>
                        </pic:blipFill>
                        <pic:spPr bwMode="auto">
                          <a:xfrm>
                            <a:off x="0" y="0"/>
                            <a:ext cx="4762500" cy="3048000"/>
                          </a:xfrm>
                          <a:prstGeom prst="rect">
                            <a:avLst/>
                          </a:prstGeom>
                          <a:noFill/>
                          <a:ln w="9525">
                            <a:noFill/>
                            <a:miter lim="800000"/>
                            <a:headEnd/>
                            <a:tailEnd/>
                          </a:ln>
                        </pic:spPr>
                      </pic:pic>
                    </a:graphicData>
                  </a:graphic>
                </wp:inline>
              </w:drawing>
            </w:r>
          </w:p>
          <w:p w:rsidR="005C152E" w:rsidRDefault="005C152E" w:rsidP="005C11FC">
            <w:pPr>
              <w:pStyle w:val="textstrong"/>
              <w:spacing w:line="240" w:lineRule="atLeast"/>
              <w:rPr>
                <w:color w:val="000000"/>
              </w:rPr>
            </w:pPr>
            <w:r>
              <w:rPr>
                <w:color w:val="000000"/>
              </w:rPr>
              <w:t>Конвергенция или Слияние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Поищите ретрейсменты и проекции Фибоначчи от различных минимумов или максимумов, чтобы найти уровень, где совпадают два или больше ретрейсмента/проекции. Это даст уровень с большой вероятностью разворота.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Конвергенция - это ситуация, когда два или больше ценовых отношений Фибоначчи совпадают с относительно узким диапазоном.</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Например, конвергенция Фибоначчи , когда 38.2 % от одного максимума и 50 % от другого, а также 61.8 % от еще одного сходятся в одной области графика. Расширение Фибоначчи может сходиться с ретрейсментом Фибоначчи, создавая сильный отскок.</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3000375"/>
                  <wp:effectExtent l="19050" t="0" r="0" b="0"/>
                  <wp:docPr id="7" name="Рисунок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0"/>
                          <a:srcRect/>
                          <a:stretch>
                            <a:fillRect/>
                          </a:stretch>
                        </pic:blipFill>
                        <pic:spPr bwMode="auto">
                          <a:xfrm>
                            <a:off x="0" y="0"/>
                            <a:ext cx="4762500" cy="30003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На графике выше проведены два ретрейсмента Фибоначчи от двух различных минимумов. </w:t>
            </w:r>
            <w:r>
              <w:rPr>
                <w:rFonts w:ascii="Trebuchet MS" w:hAnsi="Trebuchet MS"/>
                <w:color w:val="000000"/>
                <w:sz w:val="20"/>
                <w:szCs w:val="20"/>
              </w:rPr>
              <w:lastRenderedPageBreak/>
              <w:t>Нанесены три группы точек:</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A - совпадают ретрейсменты 61.8% и 32.8%</w:t>
            </w:r>
            <w:r>
              <w:rPr>
                <w:rFonts w:ascii="Trebuchet MS" w:hAnsi="Trebuchet MS"/>
                <w:color w:val="000000"/>
                <w:sz w:val="20"/>
                <w:szCs w:val="20"/>
              </w:rPr>
              <w:br/>
              <w:t>B - совпадают ретрейсменты 38.2% и 23.6%</w:t>
            </w:r>
            <w:r>
              <w:rPr>
                <w:rFonts w:ascii="Trebuchet MS" w:hAnsi="Trebuchet MS"/>
                <w:color w:val="000000"/>
                <w:sz w:val="20"/>
                <w:szCs w:val="20"/>
              </w:rPr>
              <w:br/>
              <w:t>C - совпадают ретрейсменты 61.8% и 100%</w:t>
            </w:r>
          </w:p>
          <w:p w:rsidR="005C152E" w:rsidRDefault="005C152E" w:rsidP="005C11FC">
            <w:pPr>
              <w:pStyle w:val="textstrong"/>
              <w:spacing w:line="240" w:lineRule="atLeast"/>
              <w:rPr>
                <w:color w:val="000000"/>
              </w:rPr>
            </w:pPr>
            <w:r>
              <w:rPr>
                <w:color w:val="000000"/>
              </w:rPr>
              <w:t>Примеры сделок:</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w:t>
            </w:r>
            <w:r>
              <w:rPr>
                <w:rFonts w:ascii="Trebuchet MS" w:hAnsi="Trebuchet MS"/>
                <w:color w:val="000000"/>
                <w:sz w:val="20"/>
                <w:szCs w:val="20"/>
              </w:rPr>
              <w:br/>
              <w:t>GBPUSD 30-минутный график.</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52975" cy="2857500"/>
                  <wp:effectExtent l="19050" t="0" r="9525" b="0"/>
                  <wp:docPr id="8" name="Рисунок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1"/>
                          <a:srcRect/>
                          <a:stretch>
                            <a:fillRect/>
                          </a:stretch>
                        </pic:blipFill>
                        <pic:spPr bwMode="auto">
                          <a:xfrm>
                            <a:off x="0" y="0"/>
                            <a:ext cx="4752975" cy="28575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графике выше мы имеем классический паттерн ABCD, где точка входа - C, ретрейсмент на 76.4 % и свечная модель "Утренняя Звезда".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Точка C расположилась на 76.4 %, а не на 61.8 % (76.4 % - популярный уровень для GBPUSD), паттерн "Утренняя Звезда" дал нам подтверждение разворота и принес хорошую сделку до точки D - проекции на 161.8 %.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Отметьте, что точка C образовала "Двойное дно" с точкой E.</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Пример 2 </w:t>
            </w:r>
            <w:r>
              <w:rPr>
                <w:rFonts w:ascii="Trebuchet MS" w:hAnsi="Trebuchet MS"/>
                <w:color w:val="000000"/>
                <w:sz w:val="20"/>
                <w:szCs w:val="20"/>
              </w:rPr>
              <w:br/>
              <w:t>GBPUSD 4H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771775"/>
                  <wp:effectExtent l="19050" t="0" r="0" b="0"/>
                  <wp:docPr id="9" name="Рисунок 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2"/>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4-часовом графике GBPUSD у нас есть два примера сделок:</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 Вход в Точке B на свече "Бычье поглощение" с Целью Выхода на ретрейсменте 61.8 % движения от А до B.</w:t>
            </w:r>
            <w:r>
              <w:rPr>
                <w:rFonts w:ascii="Trebuchet MS" w:hAnsi="Trebuchet MS"/>
                <w:color w:val="000000"/>
                <w:sz w:val="20"/>
                <w:szCs w:val="20"/>
              </w:rPr>
              <w:br/>
              <w:t>2. Паттерн ABCD со входом в точке C, являющейся ретрейсментом 61.8 % движения от А до B, подтвержден двойным дном в точке C или бычьим поглощением после C. Выход из сделки на уровне проекции 161.8 %, в точке D или на 261.8 %, в точке E. Любой из этих выходов дал очень хорошие сделки. Обратите внимание на конвергенцию Фибоначчи в точке E.</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Обратите внимание, что точка D также формирует двойную вершину с точкой A. Эта конвергенция двойной вершины и проекции на 161.8 % повышает надежность точки выхода.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3</w:t>
            </w:r>
            <w:r>
              <w:rPr>
                <w:rFonts w:ascii="Trebuchet MS" w:hAnsi="Trebuchet MS"/>
                <w:color w:val="000000"/>
                <w:sz w:val="20"/>
                <w:szCs w:val="20"/>
              </w:rPr>
              <w:br/>
              <w:t>GBPUSD 4H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790825"/>
                  <wp:effectExtent l="19050" t="0" r="0" b="0"/>
                  <wp:docPr id="10" name="Рисунок 1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
                          <pic:cNvPicPr>
                            <a:picLocks noChangeAspect="1" noChangeArrowheads="1"/>
                          </pic:cNvPicPr>
                        </pic:nvPicPr>
                        <pic:blipFill>
                          <a:blip r:embed="rId13"/>
                          <a:srcRect/>
                          <a:stretch>
                            <a:fillRect/>
                          </a:stretch>
                        </pic:blipFill>
                        <pic:spPr bwMode="auto">
                          <a:xfrm>
                            <a:off x="0" y="0"/>
                            <a:ext cx="4762500" cy="27908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Снова паттерн ABCD приносит нам еще одну хорошую долгосрочную сделку со входом от </w:t>
            </w:r>
            <w:r>
              <w:rPr>
                <w:rFonts w:ascii="Trebuchet MS" w:hAnsi="Trebuchet MS"/>
                <w:color w:val="000000"/>
                <w:sz w:val="20"/>
                <w:szCs w:val="20"/>
              </w:rPr>
              <w:lastRenderedPageBreak/>
              <w:t>ретрейсмента 61.8 %, подтвержденную паттерном "Более высокий минимум".</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Выход в точке D - проекция 161.8 % движения от точки А до точки B...</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4</w:t>
            </w:r>
            <w:r>
              <w:rPr>
                <w:rFonts w:ascii="Trebuchet MS" w:hAnsi="Trebuchet MS"/>
                <w:color w:val="000000"/>
                <w:sz w:val="20"/>
                <w:szCs w:val="20"/>
              </w:rPr>
              <w:br/>
              <w:t>GBPUSD 4H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771775"/>
                  <wp:effectExtent l="19050" t="0" r="0" b="0"/>
                  <wp:docPr id="11" name="Рисунок 1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1"/>
                          <pic:cNvPicPr>
                            <a:picLocks noChangeAspect="1" noChangeArrowheads="1"/>
                          </pic:cNvPicPr>
                        </pic:nvPicPr>
                        <pic:blipFill>
                          <a:blip r:embed="rId14"/>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 этом примере свечной паттерн - Медвежье Отклонение, которое является конвергенцией свечей на линии сопротивления, 50%-м ретрейсменте. Обратите внимание, как пара валют отклонилась на этом уровне.</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Первая цель располагается на 161.8 % движения от точки А до точки B, в точке D, которая стала небольшой поддержкой, где цена задержалась прежде, чем продолжить движение вниз. Эта задержка была вызвана трейдерами, закрывающими позиции на этой точке и около нее.</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5</w:t>
            </w:r>
            <w:r>
              <w:rPr>
                <w:rFonts w:ascii="Trebuchet MS" w:hAnsi="Trebuchet MS"/>
                <w:color w:val="000000"/>
                <w:sz w:val="20"/>
                <w:szCs w:val="20"/>
              </w:rPr>
              <w:br/>
              <w:t>EURJPY 30 min</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52975" cy="2781300"/>
                  <wp:effectExtent l="19050" t="0" r="9525" b="0"/>
                  <wp:docPr id="12" name="Рисунок 1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2"/>
                          <pic:cNvPicPr>
                            <a:picLocks noChangeAspect="1" noChangeArrowheads="1"/>
                          </pic:cNvPicPr>
                        </pic:nvPicPr>
                        <pic:blipFill>
                          <a:blip r:embed="rId15"/>
                          <a:srcRect/>
                          <a:stretch>
                            <a:fillRect/>
                          </a:stretch>
                        </pic:blipFill>
                        <pic:spPr bwMode="auto">
                          <a:xfrm>
                            <a:off x="0" y="0"/>
                            <a:ext cx="4752975" cy="27813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Этот пример демонстрирует нам сделку на 30-минутном графике. Обратите внимание, как валютная пара совершила откат к точке C, 50%-му ретрейсменту прежде, чем продолжить движение вниз. Эту ситуацию можно было бы также назвать "бычьей ловушкой", поскольку трейдер вполне мог в точке B открыться вверх, только чтобы увидеть, как цена быстро развернулась. Важно наблюдать за поведением цены на основных уровнях Фибоначчи и вокруг них. Поскольку тренд был нисходящим, хорошие трейдеры подождут разворота в точке C прежде, чем открыть короткие сделки.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Обратите внимание, как остановилось сильное нисходящее движение около проекции 161.8 % движения от точки А до точки B. Именно здесь большинство трейдеров стали фиксировать свою прибыль, что и вызвало задержку.</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6</w:t>
            </w:r>
            <w:r>
              <w:rPr>
                <w:rFonts w:ascii="Trebuchet MS" w:hAnsi="Trebuchet MS"/>
                <w:color w:val="000000"/>
                <w:sz w:val="20"/>
                <w:szCs w:val="20"/>
              </w:rPr>
              <w:br/>
              <w:t>GBPUSD 30 min</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771775"/>
                  <wp:effectExtent l="19050" t="0" r="0" b="0"/>
                  <wp:docPr id="13" name="Рисунок 13"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3"/>
                          <pic:cNvPicPr>
                            <a:picLocks noChangeAspect="1" noChangeArrowheads="1"/>
                          </pic:cNvPicPr>
                        </pic:nvPicPr>
                        <pic:blipFill>
                          <a:blip r:embed="rId16"/>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Этот пример похож на предыдущий, только здесь мы видим повторное тестирование уровня 76.4 % в точке C. Точка C снова дает нам хорошую точку входа для длинной сделки. </w:t>
            </w:r>
            <w:r>
              <w:rPr>
                <w:rFonts w:ascii="Trebuchet MS" w:hAnsi="Trebuchet MS"/>
                <w:color w:val="000000"/>
                <w:sz w:val="20"/>
                <w:szCs w:val="20"/>
              </w:rPr>
              <w:lastRenderedPageBreak/>
              <w:t>Паттерн "Утренняя Звезда" подтверждает вход.</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7</w:t>
            </w:r>
            <w:r>
              <w:rPr>
                <w:rFonts w:ascii="Trebuchet MS" w:hAnsi="Trebuchet MS"/>
                <w:color w:val="000000"/>
                <w:sz w:val="20"/>
                <w:szCs w:val="20"/>
              </w:rPr>
              <w:br/>
              <w:t>GBPUSD 1H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3267075"/>
                  <wp:effectExtent l="19050" t="0" r="0" b="0"/>
                  <wp:docPr id="14" name="Рисунок 1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4"/>
                          <pic:cNvPicPr>
                            <a:picLocks noChangeAspect="1" noChangeArrowheads="1"/>
                          </pic:cNvPicPr>
                        </pic:nvPicPr>
                        <pic:blipFill>
                          <a:blip r:embed="rId17"/>
                          <a:srcRect/>
                          <a:stretch>
                            <a:fillRect/>
                          </a:stretch>
                        </pic:blipFill>
                        <pic:spPr bwMode="auto">
                          <a:xfrm>
                            <a:off x="0" y="0"/>
                            <a:ext cx="4762500" cy="32670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 этом примере мы видим, как можно взята хорошую сделку от двойной вершины / вечерней звезды в точке B с целью на ретрейсментом 61.8 %.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График выше показывает, насколько эффективен ретрейсмент Фибоначчи на 61.8 %. Длинная сделка, открытая сразу выше "Точки C", принесла очень прибыльную сделку. Вход подтверждается появлением Паттерна "Утренняя Звезда" в "точке C" и конвергенцией ретрейсмента 61.8 % с линией поддержки.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Точки выхода показаны на следующем графике.</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Обратите внимание на область консолидации во время отката GBP от точки B вниз на уровне 50 % прежде, чем цена продолжила ход к точке C на 61.8 %.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Также заметьте, как пара GBP повторно протестировала точку B (формируя двойную вершину и вечернюю звезду) перед откатом. Такое ретестирование предыдущих максимумов и минимумов происходит довольно часто (формируя Двойные вершины / основания или более низкие максимумы либо более высокие минимумы).</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8</w:t>
            </w:r>
            <w:r>
              <w:rPr>
                <w:rFonts w:ascii="Trebuchet MS" w:hAnsi="Trebuchet MS"/>
                <w:color w:val="000000"/>
                <w:sz w:val="20"/>
                <w:szCs w:val="20"/>
              </w:rPr>
              <w:br/>
              <w:t>GBPUSD 1H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781300"/>
                  <wp:effectExtent l="19050" t="0" r="0" b="0"/>
                  <wp:docPr id="15" name="Рисунок 15"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5"/>
                          <pic:cNvPicPr>
                            <a:picLocks noChangeAspect="1" noChangeArrowheads="1"/>
                          </pic:cNvPicPr>
                        </pic:nvPicPr>
                        <pic:blipFill>
                          <a:blip r:embed="rId18"/>
                          <a:srcRect/>
                          <a:stretch>
                            <a:fillRect/>
                          </a:stretch>
                        </pic:blipFill>
                        <pic:spPr bwMode="auto">
                          <a:xfrm>
                            <a:off x="0" y="0"/>
                            <a:ext cx="4762500" cy="27813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График выше - тоn же, что и предыдущий, но показывает проекции Фибоначчи. Длинная позиция, открытая в точке "C" с целями:</w:t>
            </w:r>
            <w:r>
              <w:rPr>
                <w:rFonts w:ascii="Trebuchet MS" w:hAnsi="Trebuchet MS"/>
                <w:color w:val="000000"/>
                <w:sz w:val="20"/>
                <w:szCs w:val="20"/>
              </w:rPr>
              <w:br/>
              <w:t>1. 161.8 в точке "D"</w:t>
            </w:r>
            <w:r>
              <w:rPr>
                <w:rFonts w:ascii="Trebuchet MS" w:hAnsi="Trebuchet MS"/>
                <w:color w:val="000000"/>
                <w:sz w:val="20"/>
                <w:szCs w:val="20"/>
              </w:rPr>
              <w:br/>
              <w:t>2. или 200% в точке "E"</w:t>
            </w:r>
            <w:r>
              <w:rPr>
                <w:rFonts w:ascii="Trebuchet MS" w:hAnsi="Trebuchet MS"/>
                <w:color w:val="000000"/>
                <w:sz w:val="20"/>
                <w:szCs w:val="20"/>
              </w:rPr>
              <w:br/>
              <w:t>3. или даже 261.8% в точке "F"</w:t>
            </w:r>
            <w:r>
              <w:rPr>
                <w:rFonts w:ascii="Trebuchet MS" w:hAnsi="Trebuchet MS"/>
                <w:color w:val="000000"/>
                <w:sz w:val="20"/>
                <w:szCs w:val="20"/>
              </w:rPr>
              <w:br/>
              <w:t>обещает прибыльную сделку. Обратите внимание, как цена консолидируется или разворачивается на основных уровнях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Отметьте области консолидации на основных уровнях Фибоначчи или около них. Наблюдается консолидация сразу ниже уровня проекции на 161.8 %. Различные программы теханализа и поставщики ценовых данных не всегда дают одинаковые уровни Фибоначчи. Такое случается часто и трейдеру следует быть готовым к этому, соответственно реагируя.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9</w:t>
            </w:r>
            <w:r>
              <w:rPr>
                <w:rFonts w:ascii="Trebuchet MS" w:hAnsi="Trebuchet MS"/>
                <w:color w:val="000000"/>
                <w:sz w:val="20"/>
                <w:szCs w:val="20"/>
              </w:rPr>
              <w:br/>
              <w:t>GBPUSD 4H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647950"/>
                  <wp:effectExtent l="19050" t="0" r="0" b="0"/>
                  <wp:docPr id="16" name="Рисунок 16"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6"/>
                          <pic:cNvPicPr>
                            <a:picLocks noChangeAspect="1" noChangeArrowheads="1"/>
                          </pic:cNvPicPr>
                        </pic:nvPicPr>
                        <pic:blipFill>
                          <a:blip r:embed="rId19"/>
                          <a:srcRect/>
                          <a:stretch>
                            <a:fillRect/>
                          </a:stretch>
                        </pic:blipFill>
                        <pic:spPr bwMode="auto">
                          <a:xfrm>
                            <a:off x="0" y="0"/>
                            <a:ext cx="4762500" cy="264795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Обратите внимание на сильный ретрейсмент в точке B, таким образом, трейдер должен быть внимательным на этих критических уровнях. В данном случае, если трейдер ждал </w:t>
            </w:r>
            <w:r>
              <w:rPr>
                <w:rFonts w:ascii="Trebuchet MS" w:hAnsi="Trebuchet MS"/>
                <w:color w:val="000000"/>
                <w:sz w:val="20"/>
                <w:szCs w:val="20"/>
              </w:rPr>
              <w:lastRenderedPageBreak/>
              <w:t>ретрейсмент на 76.4 %, появление свечи медвежьего поглощения в точке B стало сигналом закрыть сделку и переоценить рынок.</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10</w:t>
            </w:r>
            <w:r>
              <w:rPr>
                <w:rFonts w:ascii="Trebuchet MS" w:hAnsi="Trebuchet MS"/>
                <w:color w:val="000000"/>
                <w:sz w:val="20"/>
                <w:szCs w:val="20"/>
              </w:rPr>
              <w:br/>
              <w:t>EURUSD 15 min</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781300"/>
                  <wp:effectExtent l="19050" t="0" r="0" b="0"/>
                  <wp:docPr id="17" name="Рисунок 17"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7"/>
                          <pic:cNvPicPr>
                            <a:picLocks noChangeAspect="1" noChangeArrowheads="1"/>
                          </pic:cNvPicPr>
                        </pic:nvPicPr>
                        <pic:blipFill>
                          <a:blip r:embed="rId20"/>
                          <a:srcRect/>
                          <a:stretch>
                            <a:fillRect/>
                          </a:stretch>
                        </pic:blipFill>
                        <pic:spPr bwMode="auto">
                          <a:xfrm>
                            <a:off x="0" y="0"/>
                            <a:ext cx="4762500" cy="27813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выше показывает, насколько сильно уровни Фибоначчи влияют на сделку. Сперва у нас был стандартный паттерн ABCD с точкой C на ретрейсменте 61.8 %.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Цена подошла к уровню проекции 127.2 %, затем откатилась к точке D, в которой сопротивление уровня B превратилось в поддержку, затем цена выросла до проекции 161.8 % в точке E, потом откатилась к точке F повторно протестировав уровень поддержки D. Затем цена выросла к уровню 200 % в точке G, где провела в консолидации остаток дня. Уже потом цена пошла вверх почти до уровня проекции 261.8 %.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Важно здесь то, что рынок движется к определенным целям, а значит, нужно научиться находить эти цели заранее. Мы видим, что уровни Фибоначчи очень полезны в раннем определении этих целей.</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11</w:t>
            </w:r>
            <w:r>
              <w:rPr>
                <w:rFonts w:ascii="Trebuchet MS" w:hAnsi="Trebuchet MS"/>
                <w:color w:val="000000"/>
                <w:sz w:val="20"/>
                <w:szCs w:val="20"/>
              </w:rPr>
              <w:br/>
              <w:t>EURUSD Дневной</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781300"/>
                  <wp:effectExtent l="19050" t="0" r="0" b="0"/>
                  <wp:docPr id="18" name="Рисунок 18"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8"/>
                          <pic:cNvPicPr>
                            <a:picLocks noChangeAspect="1" noChangeArrowheads="1"/>
                          </pic:cNvPicPr>
                        </pic:nvPicPr>
                        <pic:blipFill>
                          <a:blip r:embed="rId21"/>
                          <a:srcRect/>
                          <a:stretch>
                            <a:fillRect/>
                          </a:stretch>
                        </pic:blipFill>
                        <pic:spPr bwMode="auto">
                          <a:xfrm>
                            <a:off x="0" y="0"/>
                            <a:ext cx="4762500" cy="27813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Этот пример иллюстрирует, как Вы можете использовать методы Фибоначчи на дневных графиках таким же образом, как и на меньших периодах.</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12</w:t>
            </w:r>
            <w:r>
              <w:rPr>
                <w:rFonts w:ascii="Trebuchet MS" w:hAnsi="Trebuchet MS"/>
                <w:color w:val="000000"/>
                <w:sz w:val="20"/>
                <w:szCs w:val="20"/>
              </w:rPr>
              <w:br/>
              <w:t>USDJPY Дневной</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3038475"/>
                  <wp:effectExtent l="19050" t="0" r="0" b="0"/>
                  <wp:docPr id="19" name="Рисунок 19"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9"/>
                          <pic:cNvPicPr>
                            <a:picLocks noChangeAspect="1" noChangeArrowheads="1"/>
                          </pic:cNvPicPr>
                        </pic:nvPicPr>
                        <pic:blipFill>
                          <a:blip r:embed="rId22"/>
                          <a:srcRect/>
                          <a:stretch>
                            <a:fillRect/>
                          </a:stretch>
                        </pic:blipFill>
                        <pic:spPr bwMode="auto">
                          <a:xfrm>
                            <a:off x="0" y="0"/>
                            <a:ext cx="4762500" cy="303847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Еще один пример применения методики Фибоначчи на дневном графике с двумя хорошими сигналами входа в точке C</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паттерн более высокого минимума</w:t>
            </w:r>
            <w:r>
              <w:rPr>
                <w:rFonts w:ascii="Trebuchet MS" w:hAnsi="Trebuchet MS"/>
                <w:color w:val="000000"/>
                <w:sz w:val="20"/>
                <w:szCs w:val="20"/>
              </w:rPr>
              <w:br/>
              <w:t>- паттерн "вечерняя звезда"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13</w:t>
            </w:r>
            <w:r>
              <w:rPr>
                <w:rFonts w:ascii="Trebuchet MS" w:hAnsi="Trebuchet MS"/>
                <w:color w:val="000000"/>
                <w:sz w:val="20"/>
                <w:szCs w:val="20"/>
              </w:rPr>
              <w:br/>
              <w:t>GBPUSD Дневной</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981325"/>
                  <wp:effectExtent l="19050" t="0" r="0" b="0"/>
                  <wp:docPr id="20" name="Рисунок 20"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
                          <pic:cNvPicPr>
                            <a:picLocks noChangeAspect="1" noChangeArrowheads="1"/>
                          </pic:cNvPicPr>
                        </pic:nvPicPr>
                        <pic:blipFill>
                          <a:blip r:embed="rId23"/>
                          <a:srcRect/>
                          <a:stretch>
                            <a:fillRect/>
                          </a:stretch>
                        </pic:blipFill>
                        <pic:spPr bwMode="auto">
                          <a:xfrm>
                            <a:off x="0" y="0"/>
                            <a:ext cx="4762500" cy="29813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Выше мы видим пример того, насколько надежны уровни Фибоначчи.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GBPUSD часто откатывается к уровню 76.4 %.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Обратите внимание, что уровни Фибоначчи эффективны на всех периодах, следовательно, если Вы торгуете на более коротких периодах, очень важно отмечать уровни Фибоначчи на больших масштабах, поскольку они могут предупредить относительно основных изменений тренда.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14</w:t>
            </w:r>
            <w:r>
              <w:rPr>
                <w:rFonts w:ascii="Trebuchet MS" w:hAnsi="Trebuchet MS"/>
                <w:color w:val="000000"/>
                <w:sz w:val="20"/>
                <w:szCs w:val="20"/>
              </w:rPr>
              <w:br/>
              <w:t>GBPUSD 1H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981325"/>
                  <wp:effectExtent l="19050" t="0" r="0" b="0"/>
                  <wp:docPr id="21" name="Рисунок 21"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21"/>
                          <pic:cNvPicPr>
                            <a:picLocks noChangeAspect="1" noChangeArrowheads="1"/>
                          </pic:cNvPicPr>
                        </pic:nvPicPr>
                        <pic:blipFill>
                          <a:blip r:embed="rId24"/>
                          <a:srcRect/>
                          <a:stretch>
                            <a:fillRect/>
                          </a:stretch>
                        </pic:blipFill>
                        <pic:spPr bwMode="auto">
                          <a:xfrm>
                            <a:off x="0" y="0"/>
                            <a:ext cx="4762500" cy="29813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Пример выше показывает две потенциальных цели для сделки, открытой от точки C на паттерне "утренняя звезда", паттерне "более высокий минимум" и ретрейсменте 76.4 % </w:t>
            </w:r>
            <w:r>
              <w:rPr>
                <w:rFonts w:ascii="Trebuchet MS" w:hAnsi="Trebuchet MS"/>
                <w:color w:val="000000"/>
                <w:sz w:val="20"/>
                <w:szCs w:val="20"/>
              </w:rPr>
              <w:lastRenderedPageBreak/>
              <w:t>движения от А до B.</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Здесь есть две целевые точки выхода в точке D - проекция 161.8 % движения от А до B или ретрейсмент 76.4 % движения от А1 до B1. Обратите внимание, как цена GBPUSD прошла сквозь ретрейсмент 61.8 % (А1 - B1) продолжая ход до D1 - 76.4 %. На уровне 61.8 % не появилось никакого свечного паттерна, указывающего на разворот, таким образом можно было оставаться в длинной позиции. Однако, в точке D1 мы видим разворот, подтвержденный свечой медвежьего поглощения.</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Этот пример иллюстрирует важность выявления всех возможных уровней Фибоначчи, чтобы находить наилучшие точки выхода.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Пример 15 </w:t>
            </w:r>
            <w:r>
              <w:rPr>
                <w:rFonts w:ascii="Trebuchet MS" w:hAnsi="Trebuchet MS"/>
                <w:color w:val="000000"/>
                <w:sz w:val="20"/>
                <w:szCs w:val="20"/>
              </w:rPr>
              <w:br/>
              <w:t>EURUSD Дневной</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981325"/>
                  <wp:effectExtent l="19050" t="0" r="0" b="0"/>
                  <wp:docPr id="22" name="Рисунок 22"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2"/>
                          <pic:cNvPicPr>
                            <a:picLocks noChangeAspect="1" noChangeArrowheads="1"/>
                          </pic:cNvPicPr>
                        </pic:nvPicPr>
                        <pic:blipFill>
                          <a:blip r:embed="rId25"/>
                          <a:srcRect/>
                          <a:stretch>
                            <a:fillRect/>
                          </a:stretch>
                        </pic:blipFill>
                        <pic:spPr bwMode="auto">
                          <a:xfrm>
                            <a:off x="0" y="0"/>
                            <a:ext cx="4762500" cy="29813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Пример выше показывает хорошую сделку на дневном графике EURUSD со входом в точке B, на паттерне "утренняя звезда" с повторным тестированием минимума.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Выходы на уровнях 61.8 % или 76.4 %. Обратите внимание, как подтверждается разворот в точке C - паттерном медвежье поглощение, а потом и более низким максимумом.</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Обратите внимание на разворот сразу под уровнем 61.8 % к линии поддержки в точке D. Паттерны "утренняя звезда"и бычье поглрщение подтверждают продолжение длинной позиции или предоставляют новую точку входа тем, кто выходил из сделки, не достигнув ретрейсмента 61.8% от движения А - B.</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Пример 16 </w:t>
            </w:r>
            <w:r>
              <w:rPr>
                <w:rFonts w:ascii="Trebuchet MS" w:hAnsi="Trebuchet MS"/>
                <w:color w:val="000000"/>
                <w:sz w:val="20"/>
                <w:szCs w:val="20"/>
              </w:rPr>
              <w:br/>
              <w:t>EURJPY Дневной</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62500" cy="2981325"/>
                  <wp:effectExtent l="19050" t="0" r="0" b="0"/>
                  <wp:docPr id="23" name="Рисунок 23"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3"/>
                          <pic:cNvPicPr>
                            <a:picLocks noChangeAspect="1" noChangeArrowheads="1"/>
                          </pic:cNvPicPr>
                        </pic:nvPicPr>
                        <pic:blipFill>
                          <a:blip r:embed="rId26"/>
                          <a:srcRect/>
                          <a:stretch>
                            <a:fillRect/>
                          </a:stretch>
                        </pic:blipFill>
                        <pic:spPr bwMode="auto">
                          <a:xfrm>
                            <a:off x="0" y="0"/>
                            <a:ext cx="4762500" cy="29813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Здесь мы видим вход в короткую позицию сразу ниже точки C, когда пара EURJPY развернулась от уровня ретрейсмента 61.8 % от движения А - B, с сигналами подтверждения "вечерняя звезда" и более низким максимумом. Выход в точке D, с подтверждением паттерном "утренняя звезда". Обратите внимание, что цена развернулась, так и не дойдя до цели на 161.8 %. Таким образом, трейдеры должны знать, что цена не всегда достигает запланированных уровней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Входим в длинную позицию в точке D, с подтверждением паттерном "утренняя звезда", выход - в точке E, на ретрейсменте 61.8 % хода от C до D, когда появилась "вечерняя звезда".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Пример 17 </w:t>
            </w:r>
            <w:r>
              <w:rPr>
                <w:rFonts w:ascii="Trebuchet MS" w:hAnsi="Trebuchet MS"/>
                <w:color w:val="000000"/>
                <w:sz w:val="20"/>
                <w:szCs w:val="20"/>
              </w:rPr>
              <w:br/>
              <w:t>EURJPY 15 min</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62500" cy="2981325"/>
                  <wp:effectExtent l="19050" t="0" r="0" b="0"/>
                  <wp:docPr id="24" name="Рисунок 24"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24"/>
                          <pic:cNvPicPr>
                            <a:picLocks noChangeAspect="1" noChangeArrowheads="1"/>
                          </pic:cNvPicPr>
                        </pic:nvPicPr>
                        <pic:blipFill>
                          <a:blip r:embed="rId27"/>
                          <a:srcRect/>
                          <a:stretch>
                            <a:fillRect/>
                          </a:stretch>
                        </pic:blipFill>
                        <pic:spPr bwMode="auto">
                          <a:xfrm>
                            <a:off x="0" y="0"/>
                            <a:ext cx="4762500" cy="2981325"/>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График выше показывает типичные примеры консолидаций в точке D на уровне </w:t>
            </w:r>
            <w:r>
              <w:rPr>
                <w:rFonts w:ascii="Trebuchet MS" w:hAnsi="Trebuchet MS"/>
                <w:color w:val="000000"/>
                <w:sz w:val="20"/>
                <w:szCs w:val="20"/>
              </w:rPr>
              <w:lastRenderedPageBreak/>
              <w:t>расширения 161.8 % от хода A - B и точке E - расширение 261.8% от A - B.</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Вход в короткую позицию осуществляется в точке C, с паттернами "двойная вершина" и "вечерняя звезда" и выходами в точках D или E.</w:t>
            </w:r>
          </w:p>
          <w:p w:rsidR="005C152E" w:rsidRDefault="005C152E" w:rsidP="005C11FC">
            <w:pPr>
              <w:pStyle w:val="textstrong"/>
              <w:spacing w:line="240" w:lineRule="atLeast"/>
              <w:rPr>
                <w:color w:val="000000"/>
              </w:rPr>
            </w:pPr>
            <w:r>
              <w:rPr>
                <w:color w:val="000000"/>
              </w:rPr>
              <w:t>Стоп-лосс</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Форекс - очень изменчивый рынок. Валютный курс может пройти 150 или больше пипсов в течение нескольких минут, особенно если выходят важные новости или центральный банк проводит интервенцию. Например, когда Алан Гринспен выступал одновременно с интервенцией японского центробанка, ход валют был весьма значительным.</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Кто-то держит стоп-лосс "в уме", кто-то рискует большей частью своего капитала. Важно помнить - стоп-лосс должен быть поставлен сразу по открытии позиции. Это заранее рассчитаннная цена, по которой Вы планируете выйти из сделки, если рынок пойдет против Вас. Стоп вынуждает Вас выйти из рынка по определенной цене. Если возможно, разумно ставить стоп-лосс сразу выше линии сопротивления или ниже линии поддержки.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Стоп-лосс никогда не должен превышать Ваш максимальный риск. Никогда нельзя увеличивать Ваш стоп-лосс после того, как Вы вошли в сделку и установили цену стопа.</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Отношение риска к прибыли очень важно, его нужно рассчитывать.</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Рекомендуется отношение риска к прибыли не менее 1:1.5.</w:t>
            </w:r>
            <w:r>
              <w:rPr>
                <w:rFonts w:ascii="Trebuchet MS" w:hAnsi="Trebuchet MS"/>
                <w:color w:val="000000"/>
                <w:sz w:val="20"/>
                <w:szCs w:val="20"/>
              </w:rPr>
              <w:br/>
              <w:t>Риск 30 принимается ради профита 45 пипсов или риск 40 пипсов делает 60 пипсов прибыли.</w:t>
            </w:r>
          </w:p>
          <w:p w:rsidR="005C152E" w:rsidRDefault="005C152E" w:rsidP="005C11FC">
            <w:pPr>
              <w:pStyle w:val="textstrong"/>
              <w:spacing w:line="240" w:lineRule="atLeast"/>
              <w:rPr>
                <w:color w:val="000000"/>
              </w:rPr>
            </w:pPr>
            <w:r>
              <w:rPr>
                <w:color w:val="000000"/>
              </w:rPr>
              <w:t>Лучшее расположение стопов:</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15 пипсов выше последнего максимума для короткой сделки 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10 пипсов ниже последнего минимума для длинной.</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Альтернативный вариант размещения стоп-лосса - за следующим уровнем Фибоначчи, например, при покупке на ретрейсменте 61.8 % стоп-лосс ставится ниже ретрейсмента 78.6 %.</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не забывайте рассчитывать соотношение риска/прибыли. Если расстояние до стопа превышает расчет риска/прибыли, постарайтесь не входить в такую сделку.</w:t>
            </w:r>
          </w:p>
          <w:p w:rsidR="005C152E" w:rsidRDefault="005C152E" w:rsidP="005C11FC">
            <w:pPr>
              <w:pStyle w:val="textstrong"/>
              <w:spacing w:line="240" w:lineRule="atLeast"/>
              <w:rPr>
                <w:color w:val="000000"/>
              </w:rPr>
            </w:pPr>
            <w:r>
              <w:rPr>
                <w:color w:val="000000"/>
              </w:rPr>
              <w:t>Смещение стопов</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Важно защищать прибыль. Один и способов состоит в использовании движущегося стоп-лосса. Когда сделка становится прибыльной, Вы перемещаете стоп-лосс, чтобы уменьшить риск.</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Если стоп-лосс - 40 пипсов, то при отношении риска-прибыли 1:1.5 Вы рискуете 40 пипсами, чтобы получить прибыль 60 пипсов</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Когда рынок пройдет 10 пипсов в вашу сторону, переместите стоп-лосс на 10 пипсов. Ваш стоп-лосс будет теперь уменьшен до 30 пипсов.</w:t>
            </w:r>
            <w:r>
              <w:rPr>
                <w:rFonts w:ascii="Trebuchet MS" w:hAnsi="Trebuchet MS"/>
                <w:color w:val="000000"/>
                <w:sz w:val="20"/>
                <w:szCs w:val="20"/>
              </w:rPr>
              <w:br/>
              <w:t>• Продолжайте уменьшать стоп-лосс каждый раз, когда рынок проходит 10 пипсов в вашу сторону. Ваш стоп в конечном счете дойдет до уровня входа, что даст Вам "беспроигрышную" сделку.</w:t>
            </w:r>
            <w:r>
              <w:rPr>
                <w:rFonts w:ascii="Trebuchet MS" w:hAnsi="Trebuchet MS"/>
                <w:color w:val="000000"/>
                <w:sz w:val="20"/>
                <w:szCs w:val="20"/>
              </w:rPr>
              <w:br/>
              <w:t xml:space="preserve">• Когда рынок достигнет 75 % от первоначальной цели прибыли, начните прогрессивно </w:t>
            </w:r>
            <w:r>
              <w:rPr>
                <w:rFonts w:ascii="Trebuchet MS" w:hAnsi="Trebuchet MS"/>
                <w:color w:val="000000"/>
                <w:sz w:val="20"/>
                <w:szCs w:val="20"/>
              </w:rPr>
              <w:lastRenderedPageBreak/>
              <w:t>сужать расстояние от текущей рыночной цены до стопа.</w:t>
            </w:r>
            <w:r>
              <w:rPr>
                <w:rFonts w:ascii="Trebuchet MS" w:hAnsi="Trebuchet MS"/>
                <w:color w:val="000000"/>
                <w:sz w:val="20"/>
                <w:szCs w:val="20"/>
              </w:rPr>
              <w:br/>
              <w:t>• Если нет никаких признаков разворота рынка, уберите лимит-ордер и продолжайте использовать технику движущегося стопа, чтобы защитить прибыль и оседлать тренд.</w:t>
            </w:r>
            <w:r>
              <w:rPr>
                <w:rFonts w:ascii="Trebuchet MS" w:hAnsi="Trebuchet MS"/>
                <w:color w:val="000000"/>
                <w:sz w:val="20"/>
                <w:szCs w:val="20"/>
              </w:rPr>
              <w:br/>
              <w:t>• Если есть убедительные доказательства разворота рынка, закройте позицию по рынку и ищите возможность открыть новую позицию в новом направлении. Вам потребуется немало попрактиковаться, чтобы научиться этому. Мы знаем, что после большого ралли всегда наступает консолидация, которая, в основном, откатывается до уровня ретрейсмента Фибоначчи.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Ваш стоп не должен двигаться за рынком слишком близко к нему. Шум на рынке может достигать 20 - 30 пипсов, а то и больше, и заставит сработать слишком малые стопы. В большинстве случаев предлагается размещать стопы на расстоянии, по крайней мере, 30 - 40 пунктов, особенно в начале сделки. Однако, лучшее положение для стопов - выше и ниже уровней сопротивления или поддержки, как говорилось выше.</w:t>
            </w:r>
          </w:p>
          <w:p w:rsidR="005C152E" w:rsidRDefault="005C152E" w:rsidP="005C11FC">
            <w:pPr>
              <w:pStyle w:val="textstrong"/>
              <w:spacing w:line="240" w:lineRule="atLeast"/>
              <w:rPr>
                <w:color w:val="000000"/>
              </w:rPr>
            </w:pPr>
            <w:r>
              <w:rPr>
                <w:color w:val="000000"/>
              </w:rPr>
              <w:t>Дополнительные примеры</w:t>
            </w:r>
          </w:p>
          <w:p w:rsidR="005C152E" w:rsidRDefault="005C152E" w:rsidP="005C11FC">
            <w:pPr>
              <w:pStyle w:val="a3"/>
              <w:spacing w:line="240" w:lineRule="atLeast"/>
              <w:rPr>
                <w:rFonts w:ascii="Trebuchet MS" w:hAnsi="Trebuchet MS"/>
                <w:color w:val="000000"/>
                <w:sz w:val="20"/>
                <w:szCs w:val="20"/>
              </w:rPr>
            </w:pPr>
            <w:r>
              <w:rPr>
                <w:rStyle w:val="text1"/>
              </w:rPr>
              <w:t xml:space="preserve">Пример 18 </w:t>
            </w:r>
            <w:r>
              <w:rPr>
                <w:rFonts w:ascii="Trebuchet MS" w:hAnsi="Trebuchet MS"/>
                <w:color w:val="000000"/>
                <w:sz w:val="20"/>
                <w:szCs w:val="20"/>
              </w:rPr>
              <w:br/>
              <w:t>GBPUSD 1H</w:t>
            </w:r>
          </w:p>
          <w:p w:rsidR="005C152E" w:rsidRPr="00522FE7" w:rsidRDefault="005C152E"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drawing>
                <wp:inline distT="0" distB="0" distL="0" distR="0">
                  <wp:extent cx="4752975" cy="2781300"/>
                  <wp:effectExtent l="19050" t="0" r="9525" b="0"/>
                  <wp:docPr id="25" name="Рисунок 25"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5"/>
                          <pic:cNvPicPr>
                            <a:picLocks noChangeAspect="1" noChangeArrowheads="1"/>
                          </pic:cNvPicPr>
                        </pic:nvPicPr>
                        <pic:blipFill>
                          <a:blip r:embed="rId28"/>
                          <a:srcRect/>
                          <a:stretch>
                            <a:fillRect/>
                          </a:stretch>
                        </pic:blipFill>
                        <pic:spPr bwMode="auto">
                          <a:xfrm>
                            <a:off x="0" y="0"/>
                            <a:ext cx="4752975" cy="2781300"/>
                          </a:xfrm>
                          <a:prstGeom prst="rect">
                            <a:avLst/>
                          </a:prstGeom>
                          <a:noFill/>
                          <a:ln w="9525">
                            <a:noFill/>
                            <a:miter lim="800000"/>
                            <a:headEnd/>
                            <a:tailEnd/>
                          </a:ln>
                        </pic:spPr>
                      </pic:pic>
                    </a:graphicData>
                  </a:graphic>
                </wp:inline>
              </w:drawing>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вышеприведенном графике мы ищем возможности для входа 20 мая, поэтому мы используем Фибоначчи, чтобы провести линию от максимума диапазона предыдущего дня (19 мая) к минимуму того же дня. Цена откатилась к уровню 61.8% и развернулась вниз.</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Инструмент Фибоначчи был применен к точке А (1.8432) и точке B (1.8331), чтобы найти цель прибыли на расширении 161.8 % (1.8250). Это оказалась точная цель - цена развернулась на 1.8232.</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Некоторые форекс-трейдеры используют точку C для расчета цели прибыли. Мы проверили, насколько хорошо это работает.</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1-я цель = C-0.618(A-B) =1.8390- 0.618 x (1.8432-1.8331)</w:t>
            </w:r>
            <w:r>
              <w:rPr>
                <w:rFonts w:ascii="Trebuchet MS" w:hAnsi="Trebuchet MS"/>
                <w:color w:val="000000"/>
                <w:sz w:val="20"/>
                <w:szCs w:val="20"/>
              </w:rPr>
              <w:br/>
              <w:t xml:space="preserve">=1.8390-62 </w:t>
            </w:r>
            <w:r>
              <w:rPr>
                <w:rFonts w:ascii="Trebuchet MS" w:hAnsi="Trebuchet MS"/>
                <w:color w:val="000000"/>
                <w:sz w:val="20"/>
                <w:szCs w:val="20"/>
              </w:rPr>
              <w:br/>
              <w:t>=1.8328</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2-я цель =C-1.0 (A-B) =1.8390-( 1.8432-1.8331)</w:t>
            </w:r>
            <w:r>
              <w:rPr>
                <w:rFonts w:ascii="Trebuchet MS" w:hAnsi="Trebuchet MS"/>
                <w:color w:val="000000"/>
                <w:sz w:val="20"/>
                <w:szCs w:val="20"/>
              </w:rPr>
              <w:br/>
              <w:t xml:space="preserve">=1.8390-101 </w:t>
            </w:r>
            <w:r>
              <w:rPr>
                <w:rFonts w:ascii="Trebuchet MS" w:hAnsi="Trebuchet MS"/>
                <w:color w:val="000000"/>
                <w:sz w:val="20"/>
                <w:szCs w:val="20"/>
              </w:rPr>
              <w:br/>
            </w:r>
            <w:r>
              <w:rPr>
                <w:rFonts w:ascii="Trebuchet MS" w:hAnsi="Trebuchet MS"/>
                <w:color w:val="000000"/>
                <w:sz w:val="20"/>
                <w:szCs w:val="20"/>
              </w:rPr>
              <w:lastRenderedPageBreak/>
              <w:t>=1.8289</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3-я цель =C-1.618(A-B) =1.8390-1.618 x 101</w:t>
            </w:r>
            <w:r>
              <w:rPr>
                <w:rFonts w:ascii="Trebuchet MS" w:hAnsi="Trebuchet MS"/>
                <w:color w:val="000000"/>
                <w:sz w:val="20"/>
                <w:szCs w:val="20"/>
              </w:rPr>
              <w:br/>
              <w:t xml:space="preserve">=1.8390-163 </w:t>
            </w:r>
            <w:r>
              <w:rPr>
                <w:rFonts w:ascii="Trebuchet MS" w:hAnsi="Trebuchet MS"/>
                <w:color w:val="000000"/>
                <w:sz w:val="20"/>
                <w:szCs w:val="20"/>
              </w:rPr>
              <w:br/>
              <w:t>=1.8227</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На графике мы можем видеть, как цена проскользнула сквозь первые две цели и развернулась на 5 пипсов выше 3-ей цели. Метод точки C в этой сделке оказался более точным, чем инструмент Фибоначчи, но мы видели сотни сделок, где инструментальные уровни отличались от реальных не более, чем на 5 пипсов.</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Для тех, кто хочет понять метод точки C, расчеты для покупки (длинная сделка) являются обратными показанным выше.</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т.e.</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1-я цель =0.618(B-A)+C </w:t>
            </w:r>
            <w:r>
              <w:rPr>
                <w:rFonts w:ascii="Trebuchet MS" w:hAnsi="Trebuchet MS"/>
                <w:color w:val="000000"/>
                <w:sz w:val="20"/>
                <w:szCs w:val="20"/>
              </w:rPr>
              <w:br/>
              <w:t xml:space="preserve">2-я цель=1.0(B-A) +C </w:t>
            </w:r>
            <w:r>
              <w:rPr>
                <w:rFonts w:ascii="Trebuchet MS" w:hAnsi="Trebuchet MS"/>
                <w:color w:val="000000"/>
                <w:sz w:val="20"/>
                <w:szCs w:val="20"/>
              </w:rPr>
              <w:br/>
              <w:t>3-я цель=1.618(B-A)+C</w:t>
            </w:r>
          </w:p>
          <w:p w:rsidR="005C152E" w:rsidRDefault="005C152E" w:rsidP="005C11FC">
            <w:pPr>
              <w:pStyle w:val="textstrong"/>
              <w:spacing w:line="240" w:lineRule="atLeast"/>
              <w:rPr>
                <w:color w:val="000000"/>
              </w:rPr>
            </w:pPr>
            <w:r>
              <w:rPr>
                <w:color w:val="000000"/>
              </w:rPr>
              <w:t>Вывод</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Методика хорошо работает на различных периодах времени и может использоваться для дейтрейдинга, свинг-трейдинга и позиционной торговли.</w:t>
            </w:r>
          </w:p>
          <w:p w:rsidR="005C152E" w:rsidRDefault="005C152E" w:rsidP="005C11FC">
            <w:pPr>
              <w:pStyle w:val="a3"/>
              <w:spacing w:line="240" w:lineRule="atLeast"/>
              <w:rPr>
                <w:rFonts w:ascii="Trebuchet MS" w:hAnsi="Trebuchet MS"/>
                <w:color w:val="000000"/>
                <w:sz w:val="20"/>
                <w:szCs w:val="20"/>
              </w:rPr>
            </w:pPr>
            <w:r>
              <w:rPr>
                <w:rFonts w:ascii="Trebuchet MS" w:hAnsi="Trebuchet MS"/>
                <w:color w:val="000000"/>
                <w:sz w:val="20"/>
                <w:szCs w:val="20"/>
              </w:rPr>
              <w:t>Причина, по которой отношения Фибоначчи столь успешны - они обеспечивают хорошую точку входа и хорошую цель выхода. Разворотный момент может быть ретрейсментом 38.2 % на 4-часовом графике и ретрейсментом 61.8 % на 15-минутном.</w:t>
            </w:r>
          </w:p>
          <w:p w:rsidR="005C152E" w:rsidRPr="00522FE7" w:rsidRDefault="005C152E" w:rsidP="005C11FC">
            <w:pPr>
              <w:pStyle w:val="a3"/>
              <w:spacing w:line="240" w:lineRule="atLeast"/>
              <w:rPr>
                <w:rFonts w:ascii="Trebuchet MS" w:hAnsi="Trebuchet MS"/>
                <w:color w:val="000000"/>
                <w:sz w:val="20"/>
                <w:szCs w:val="20"/>
                <w:lang w:val="en-US"/>
              </w:rPr>
            </w:pPr>
            <w:r w:rsidRPr="00522FE7">
              <w:rPr>
                <w:rFonts w:ascii="Trebuchet MS" w:hAnsi="Trebuchet MS"/>
                <w:color w:val="CCCCCC"/>
                <w:sz w:val="20"/>
                <w:szCs w:val="20"/>
                <w:lang w:val="en-US"/>
              </w:rPr>
              <w:br/>
              <w:t xml:space="preserve">© Ken Marshall </w:t>
            </w:r>
            <w:r>
              <w:rPr>
                <w:rFonts w:ascii="Trebuchet MS" w:hAnsi="Trebuchet MS"/>
                <w:color w:val="CCCCCC"/>
                <w:sz w:val="20"/>
                <w:szCs w:val="20"/>
              </w:rPr>
              <w:t>и</w:t>
            </w:r>
            <w:r w:rsidRPr="00522FE7">
              <w:rPr>
                <w:rFonts w:ascii="Trebuchet MS" w:hAnsi="Trebuchet MS"/>
                <w:color w:val="CCCCCC"/>
                <w:sz w:val="20"/>
                <w:szCs w:val="20"/>
                <w:lang w:val="en-US"/>
              </w:rPr>
              <w:t xml:space="preserve"> Rob Moubray</w:t>
            </w:r>
          </w:p>
        </w:tc>
      </w:tr>
    </w:tbl>
    <w:p w:rsidR="00A1211F" w:rsidRDefault="00A1211F"/>
    <w:sectPr w:rsidR="00A1211F" w:rsidSect="00A121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5C152E"/>
    <w:rsid w:val="005C152E"/>
    <w:rsid w:val="00A12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5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strong">
    <w:name w:val="text_strong"/>
    <w:basedOn w:val="a"/>
    <w:rsid w:val="005C152E"/>
    <w:pPr>
      <w:spacing w:before="100" w:beforeAutospacing="1" w:after="100" w:afterAutospacing="1"/>
    </w:pPr>
    <w:rPr>
      <w:rFonts w:ascii="Trebuchet MS" w:hAnsi="Trebuchet MS"/>
      <w:b/>
      <w:bCs/>
      <w:sz w:val="20"/>
      <w:szCs w:val="20"/>
    </w:rPr>
  </w:style>
  <w:style w:type="paragraph" w:customStyle="1" w:styleId="textstrongblue">
    <w:name w:val="text_strong_blue"/>
    <w:basedOn w:val="a"/>
    <w:rsid w:val="005C152E"/>
    <w:pPr>
      <w:spacing w:before="100" w:beforeAutospacing="1" w:after="100" w:afterAutospacing="1"/>
    </w:pPr>
    <w:rPr>
      <w:rFonts w:ascii="Trebuchet MS" w:hAnsi="Trebuchet MS"/>
      <w:b/>
      <w:bCs/>
      <w:color w:val="1F5A9C"/>
      <w:sz w:val="20"/>
      <w:szCs w:val="20"/>
    </w:rPr>
  </w:style>
  <w:style w:type="character" w:customStyle="1" w:styleId="textstrongblue1">
    <w:name w:val="text_strong_blue1"/>
    <w:basedOn w:val="a0"/>
    <w:rsid w:val="005C152E"/>
    <w:rPr>
      <w:rFonts w:ascii="Trebuchet MS" w:hAnsi="Trebuchet MS" w:hint="default"/>
      <w:b/>
      <w:bCs/>
      <w:smallCaps w:val="0"/>
      <w:color w:val="1F5A9C"/>
      <w:sz w:val="20"/>
      <w:szCs w:val="20"/>
    </w:rPr>
  </w:style>
  <w:style w:type="paragraph" w:styleId="a3">
    <w:name w:val="Normal (Web)"/>
    <w:basedOn w:val="a"/>
    <w:rsid w:val="005C152E"/>
    <w:pPr>
      <w:spacing w:before="100" w:beforeAutospacing="1" w:after="100" w:afterAutospacing="1"/>
    </w:pPr>
  </w:style>
  <w:style w:type="character" w:customStyle="1" w:styleId="text1">
    <w:name w:val="text1"/>
    <w:basedOn w:val="a0"/>
    <w:rsid w:val="005C152E"/>
    <w:rPr>
      <w:rFonts w:ascii="Trebuchet MS" w:hAnsi="Trebuchet MS" w:hint="default"/>
      <w:smallCaps w:val="0"/>
      <w:color w:val="000000"/>
      <w:sz w:val="20"/>
      <w:szCs w:val="20"/>
    </w:rPr>
  </w:style>
  <w:style w:type="paragraph" w:styleId="a4">
    <w:name w:val="Balloon Text"/>
    <w:basedOn w:val="a"/>
    <w:link w:val="a5"/>
    <w:uiPriority w:val="99"/>
    <w:semiHidden/>
    <w:unhideWhenUsed/>
    <w:rsid w:val="005C152E"/>
    <w:rPr>
      <w:rFonts w:ascii="Tahoma" w:hAnsi="Tahoma" w:cs="Tahoma"/>
      <w:sz w:val="16"/>
      <w:szCs w:val="16"/>
    </w:rPr>
  </w:style>
  <w:style w:type="character" w:customStyle="1" w:styleId="a5">
    <w:name w:val="Текст выноски Знак"/>
    <w:basedOn w:val="a0"/>
    <w:link w:val="a4"/>
    <w:uiPriority w:val="99"/>
    <w:semiHidden/>
    <w:rsid w:val="005C152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3068</Words>
  <Characters>17493</Characters>
  <Application>Microsoft Office Word</Application>
  <DocSecurity>0</DocSecurity>
  <Lines>145</Lines>
  <Paragraphs>41</Paragraphs>
  <ScaleCrop>false</ScaleCrop>
  <Company/>
  <LinksUpToDate>false</LinksUpToDate>
  <CharactersWithSpaces>20520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cp:revision>
  <dcterms:created xsi:type="dcterms:W3CDTF">2011-05-30T16:19:00Z</dcterms:created>
  <dcterms:modified xsi:type="dcterms:W3CDTF">2011-05-30T16:19:00Z</dcterms:modified>
</cp:coreProperties>
</file>